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1C1241FB"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0754C">
        <w:rPr>
          <w:rFonts w:ascii="Arial" w:hAnsi="Arial" w:cs="Arial"/>
          <w:b/>
          <w:bCs/>
          <w:sz w:val="20"/>
          <w:szCs w:val="20"/>
          <w:lang w:eastAsia="en-GB"/>
        </w:rPr>
        <w:t>2</w:t>
      </w:r>
    </w:p>
    <w:p w14:paraId="01D9BD5F" w14:textId="30A3A5A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A7D35">
        <w:rPr>
          <w:rFonts w:ascii="Arial" w:hAnsi="Arial" w:cs="Arial"/>
          <w:b/>
          <w:bCs/>
          <w:sz w:val="20"/>
          <w:szCs w:val="20"/>
          <w:lang w:eastAsia="en-GB"/>
        </w:rPr>
        <w:t>15</w:t>
      </w:r>
      <w:r w:rsidR="006374B5">
        <w:rPr>
          <w:rFonts w:ascii="Arial" w:hAnsi="Arial" w:cs="Arial"/>
          <w:b/>
          <w:bCs/>
          <w:sz w:val="20"/>
          <w:szCs w:val="20"/>
          <w:lang w:eastAsia="en-GB"/>
        </w:rPr>
        <w:t>/0</w:t>
      </w:r>
      <w:r w:rsidR="007A7D35">
        <w:rPr>
          <w:rFonts w:ascii="Arial" w:hAnsi="Arial" w:cs="Arial"/>
          <w:b/>
          <w:bCs/>
          <w:sz w:val="20"/>
          <w:szCs w:val="20"/>
          <w:lang w:eastAsia="en-GB"/>
        </w:rPr>
        <w:t>1</w:t>
      </w:r>
      <w:r w:rsidR="006374B5">
        <w:rPr>
          <w:rFonts w:ascii="Arial" w:hAnsi="Arial" w:cs="Arial"/>
          <w:b/>
          <w:bCs/>
          <w:sz w:val="20"/>
          <w:szCs w:val="20"/>
          <w:lang w:eastAsia="en-GB"/>
        </w:rPr>
        <w:t>/202</w:t>
      </w:r>
      <w:r w:rsidR="007A7D35">
        <w:rPr>
          <w:rFonts w:ascii="Arial" w:hAnsi="Arial" w:cs="Arial"/>
          <w:b/>
          <w:bCs/>
          <w:sz w:val="20"/>
          <w:szCs w:val="20"/>
          <w:lang w:eastAsia="en-GB"/>
        </w:rPr>
        <w:t>5</w:t>
      </w:r>
    </w:p>
    <w:p w14:paraId="360CD5DA" w14:textId="332A9261" w:rsidR="00DE53CF" w:rsidRDefault="00DE53CF" w:rsidP="00725C04">
      <w:pPr>
        <w:spacing w:after="0" w:line="240" w:lineRule="auto"/>
        <w:rPr>
          <w:rFonts w:ascii="Arial" w:hAnsi="Arial" w:cs="Arial"/>
          <w:b/>
          <w:bCs/>
          <w:sz w:val="20"/>
          <w:szCs w:val="20"/>
          <w:lang w:eastAsia="en-GB"/>
        </w:rPr>
      </w:pPr>
      <w:r>
        <w:rPr>
          <w:rFonts w:ascii="Arial" w:hAnsi="Arial" w:cs="Arial"/>
          <w:b/>
          <w:bCs/>
          <w:sz w:val="20"/>
          <w:szCs w:val="20"/>
          <w:lang w:eastAsia="en-GB"/>
        </w:rPr>
        <w:t>Reviewed:</w:t>
      </w:r>
      <w:r>
        <w:rPr>
          <w:rFonts w:ascii="Arial" w:hAnsi="Arial" w:cs="Arial"/>
          <w:b/>
          <w:bCs/>
          <w:sz w:val="20"/>
          <w:szCs w:val="20"/>
          <w:lang w:eastAsia="en-GB"/>
        </w:rPr>
        <w:tab/>
      </w:r>
      <w:r w:rsidR="00A0754C">
        <w:rPr>
          <w:rFonts w:ascii="Arial" w:hAnsi="Arial" w:cs="Arial"/>
          <w:b/>
          <w:bCs/>
          <w:sz w:val="20"/>
          <w:szCs w:val="20"/>
          <w:lang w:eastAsia="en-GB"/>
        </w:rPr>
        <w:t>23/07/2025</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7EACA1E3" w:rsidR="00754729" w:rsidRPr="00033191" w:rsidRDefault="00CF115E"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Wem and Prees Medical Practice</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7CA6012F"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CF115E">
        <w:rPr>
          <w:rFonts w:ascii="Arial" w:hAnsi="Arial" w:cs="Arial"/>
          <w:color w:val="000000" w:themeColor="text1"/>
          <w:sz w:val="22"/>
          <w:szCs w:val="22"/>
        </w:rPr>
        <w:t xml:space="preserve">Wem and Prees Medical Practice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408FF44E"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CF115E">
        <w:rPr>
          <w:rFonts w:ascii="Arial" w:hAnsi="Arial" w:cs="Arial"/>
        </w:rPr>
        <w:t>Wem and Prees Medical Practice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3406AA9D" w:rsidR="006374B5" w:rsidRPr="006C1E26" w:rsidRDefault="00CF115E"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Wem and Prees Medical Practice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76B39071" w:rsidR="006374B5" w:rsidRPr="006C1E26" w:rsidRDefault="00CF115E" w:rsidP="00033191">
      <w:pPr>
        <w:widowControl w:val="0"/>
        <w:spacing w:after="280"/>
        <w:rPr>
          <w:rFonts w:ascii="Arial" w:hAnsi="Arial" w:cs="Arial"/>
        </w:rPr>
      </w:pPr>
      <w:r>
        <w:rPr>
          <w:rFonts w:ascii="Arial" w:hAnsi="Arial" w:cs="Arial"/>
        </w:rPr>
        <w:t>Wem and Prees Medical Practice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1B51EBA3"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CF115E">
        <w:rPr>
          <w:rFonts w:ascii="Arial" w:hAnsi="Arial" w:cs="Arial"/>
        </w:rPr>
        <w:t>Wem and Prees Medical Practice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5D68"/>
    <w:rsid w:val="00A54140"/>
    <w:rsid w:val="00A87B6C"/>
    <w:rsid w:val="00AA4BD8"/>
    <w:rsid w:val="00AB32DB"/>
    <w:rsid w:val="00AB58F6"/>
    <w:rsid w:val="00AF5753"/>
    <w:rsid w:val="00B41652"/>
    <w:rsid w:val="00B47C5F"/>
    <w:rsid w:val="00B63C3B"/>
    <w:rsid w:val="00B94F84"/>
    <w:rsid w:val="00C16543"/>
    <w:rsid w:val="00C47616"/>
    <w:rsid w:val="00C71581"/>
    <w:rsid w:val="00C87466"/>
    <w:rsid w:val="00CF115E"/>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CHISCARIU, Daniela (WEM AND PREES MEDICAL PRACTICE)</cp:lastModifiedBy>
  <cp:revision>3</cp:revision>
  <cp:lastPrinted>2018-04-22T19:48:00Z</cp:lastPrinted>
  <dcterms:created xsi:type="dcterms:W3CDTF">2025-07-23T12:51:00Z</dcterms:created>
  <dcterms:modified xsi:type="dcterms:W3CDTF">2025-08-11T11:08:00Z</dcterms:modified>
</cp:coreProperties>
</file>